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line="331.2" w:lineRule="auto"/>
        <w:rPr/>
      </w:pPr>
      <w:r w:rsidDel="00000000" w:rsidR="00000000" w:rsidRPr="00000000">
        <w:rPr>
          <w:rtl w:val="0"/>
        </w:rPr>
        <w:t xml:space="preserve">Caricare la tabella compilata e sottoscritta dal RFD relativa al targeting settoriale (comprensiva della tabella punteggi), scaricabile al seguente link: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highlight w:val="white"/>
          <w:rtl w:val="0"/>
        </w:rPr>
        <w:t xml:space="preserve">https://www.regione.umbria.it/agricoltura/misura6</w:t>
      </w:r>
      <w:r w:rsidDel="00000000" w:rsidR="00000000" w:rsidRPr="00000000">
        <w:rPr>
          <w:color w:val="222222"/>
          <w:highlight w:val="white"/>
          <w:rtl w:val="0"/>
        </w:rPr>
        <w:t xml:space="preserve"> (sezione BANDO EURI).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Il settore da considerare è quello relativo </w:t>
      </w:r>
      <w:r w:rsidDel="00000000" w:rsidR="00000000" w:rsidRPr="00000000">
        <w:rPr>
          <w:color w:val="222222"/>
          <w:highlight w:val="white"/>
          <w:rtl w:val="0"/>
        </w:rPr>
        <w:t xml:space="preserve">all'OTE</w:t>
      </w:r>
      <w:r w:rsidDel="00000000" w:rsidR="00000000" w:rsidRPr="00000000">
        <w:rPr>
          <w:color w:val="222222"/>
          <w:highlight w:val="white"/>
          <w:rtl w:val="0"/>
        </w:rPr>
        <w:t xml:space="preserve"> validato all'interno del Fascicolo Aziendale.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Ai fini dell’attribuzione di un investimento ad un settore diverso rispetto all’OTE validato nel Fascicolo Aziendale, è necessario redigere e caricare una relazione sottoscritta dal RFD che giustifichi l'attribuzione degli investimenti in oggetto </w:t>
      </w:r>
      <w:r w:rsidDel="00000000" w:rsidR="00000000" w:rsidRPr="00000000">
        <w:rPr>
          <w:color w:val="222222"/>
          <w:highlight w:val="white"/>
          <w:u w:val="single"/>
          <w:rtl w:val="0"/>
        </w:rPr>
        <w:t xml:space="preserve">esclusivamente</w:t>
      </w:r>
      <w:r w:rsidDel="00000000" w:rsidR="00000000" w:rsidRPr="00000000">
        <w:rPr>
          <w:color w:val="222222"/>
          <w:highlight w:val="white"/>
          <w:rtl w:val="0"/>
        </w:rPr>
        <w:t xml:space="preserve"> per la filiera prescelta.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56172_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Targeting settoriale.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